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93" w:leader="none"/>
          <w:tab w:val="left" w:pos="9720" w:leader="none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СООБЩЕНИЕ</w:t>
      </w:r>
      <w:r>
        <w:rPr>
          <w:b/>
          <w:color w:val="000000" w:themeColor="text1"/>
          <w:sz w:val="22"/>
          <w:szCs w:val="22"/>
        </w:rPr>
      </w:r>
    </w:p>
    <w:p>
      <w:pPr>
        <w:jc w:val="center"/>
        <w:shd w:val="clear" w:color="auto" w:fill="ffffff"/>
        <w:tabs>
          <w:tab w:val="left" w:pos="993" w:leader="none"/>
          <w:tab w:val="left" w:pos="9720" w:leader="none"/>
        </w:tabs>
        <w:rPr>
          <w:b/>
          <w:color w:val="000000" w:themeColor="text1"/>
          <w:spacing w:val="-6"/>
          <w:sz w:val="22"/>
          <w:szCs w:val="22"/>
        </w:rPr>
      </w:pPr>
      <w:r>
        <w:rPr>
          <w:b/>
          <w:color w:val="000000" w:themeColor="text1"/>
          <w:spacing w:val="-6"/>
          <w:sz w:val="22"/>
          <w:szCs w:val="22"/>
        </w:rPr>
        <w:t xml:space="preserve">о проведении годового общего собрания акционеров</w:t>
      </w:r>
      <w:r>
        <w:rPr>
          <w:b/>
          <w:color w:val="000000" w:themeColor="text1"/>
          <w:spacing w:val="-6"/>
          <w:sz w:val="22"/>
          <w:szCs w:val="22"/>
        </w:rPr>
      </w:r>
    </w:p>
    <w:p>
      <w:pPr>
        <w:jc w:val="center"/>
        <w:shd w:val="clear" w:color="auto" w:fill="ffffff"/>
        <w:tabs>
          <w:tab w:val="left" w:pos="993" w:leader="none"/>
          <w:tab w:val="left" w:pos="8789" w:leader="underscore"/>
        </w:tabs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АО </w:t>
      </w:r>
      <w:r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>
        <w:rPr>
          <w:bCs/>
          <w:color w:val="000000" w:themeColor="text1"/>
          <w:spacing w:val="-7"/>
          <w:sz w:val="22"/>
          <w:szCs w:val="22"/>
        </w:rPr>
        <w:t xml:space="preserve">Брянск</w:t>
      </w:r>
      <w:r>
        <w:rPr>
          <w:bCs/>
          <w:color w:val="000000" w:themeColor="text1"/>
          <w:spacing w:val="-7"/>
          <w:sz w:val="22"/>
          <w:szCs w:val="22"/>
        </w:rPr>
        <w:t xml:space="preserve">»</w:t>
      </w:r>
      <w:r>
        <w:rPr>
          <w:bCs/>
          <w:color w:val="000000" w:themeColor="text1"/>
          <w:sz w:val="22"/>
          <w:szCs w:val="22"/>
        </w:rPr>
      </w:r>
    </w:p>
    <w:p>
      <w:pPr>
        <w:jc w:val="center"/>
        <w:shd w:val="clear" w:color="auto" w:fill="ffffff"/>
        <w:tabs>
          <w:tab w:val="left" w:pos="993" w:leader="none"/>
          <w:tab w:val="left" w:pos="9720" w:leader="none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</w:r>
    </w:p>
    <w:p>
      <w:pPr>
        <w:pStyle w:val="658"/>
        <w:spacing w:after="60"/>
        <w:tabs>
          <w:tab w:val="left" w:pos="993" w:leader="none"/>
          <w:tab w:val="left" w:pos="9720" w:leader="none"/>
        </w:tabs>
        <w:rPr>
          <w:bCs w:val="0"/>
          <w:color w:val="000000" w:themeColor="text1"/>
          <w:spacing w:val="0"/>
        </w:rPr>
      </w:pPr>
      <w:r>
        <w:rPr>
          <w:bCs w:val="0"/>
          <w:color w:val="000000" w:themeColor="text1"/>
          <w:spacing w:val="0"/>
        </w:rPr>
        <w:t xml:space="preserve">УВАЖАЕМЫЙ АКЦИОНЕР!</w:t>
      </w:r>
      <w:r>
        <w:rPr>
          <w:bCs w:val="0"/>
          <w:color w:val="000000" w:themeColor="text1"/>
          <w:spacing w:val="0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</w:r>
      <w:r>
        <w:rPr>
          <w:iCs/>
          <w:color w:val="000000" w:themeColor="text1"/>
          <w:sz w:val="18"/>
          <w:szCs w:val="1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7253" w:leader="underscore"/>
        </w:tabs>
        <w:rPr>
          <w:b/>
          <w:color w:val="000000" w:themeColor="text1"/>
          <w:spacing w:val="-2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 xml:space="preserve">Акционерное общество «Газпром газораспределение </w:t>
      </w:r>
      <w:r>
        <w:rPr>
          <w:bCs/>
          <w:iCs/>
          <w:color w:val="000000" w:themeColor="text1"/>
          <w:sz w:val="22"/>
          <w:szCs w:val="22"/>
        </w:rPr>
        <w:t xml:space="preserve">Брянск</w:t>
      </w:r>
      <w:r>
        <w:rPr>
          <w:bCs/>
          <w:iCs/>
          <w:color w:val="000000" w:themeColor="text1"/>
          <w:sz w:val="22"/>
          <w:szCs w:val="22"/>
        </w:rPr>
        <w:t xml:space="preserve">»</w:t>
      </w:r>
      <w:r>
        <w:rPr>
          <w:iCs/>
          <w:color w:val="000000" w:themeColor="text1"/>
          <w:sz w:val="22"/>
          <w:szCs w:val="22"/>
        </w:rPr>
        <w:t xml:space="preserve"> (далее – Общество) </w:t>
      </w:r>
      <w:r>
        <w:rPr>
          <w:color w:val="000000" w:themeColor="text1"/>
          <w:sz w:val="22"/>
          <w:szCs w:val="22"/>
        </w:rPr>
        <w:t xml:space="preserve">уведомляет Вас о проведении годового о</w:t>
      </w:r>
      <w:r>
        <w:rPr>
          <w:color w:val="000000" w:themeColor="text1"/>
          <w:spacing w:val="-2"/>
          <w:sz w:val="22"/>
          <w:szCs w:val="22"/>
        </w:rPr>
        <w:t xml:space="preserve">бщего собрания акционеров</w:t>
      </w:r>
      <w:r>
        <w:rPr>
          <w:b/>
          <w:color w:val="000000" w:themeColor="text1"/>
          <w:spacing w:val="-2"/>
          <w:sz w:val="22"/>
          <w:szCs w:val="22"/>
        </w:rPr>
        <w:t xml:space="preserve">.</w:t>
      </w:r>
      <w:r>
        <w:rPr>
          <w:b/>
          <w:color w:val="000000" w:themeColor="text1"/>
          <w:spacing w:val="-2"/>
          <w:sz w:val="22"/>
          <w:szCs w:val="22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7253" w:leader="underscore"/>
        </w:tabs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Место нахождения Общества: </w:t>
      </w:r>
      <w:r>
        <w:rPr>
          <w:b/>
          <w:sz w:val="22"/>
          <w:szCs w:val="22"/>
        </w:rPr>
        <w:t xml:space="preserve">Российская Федерация,  Брянская область</w:t>
      </w:r>
      <w:r>
        <w:rPr>
          <w:b/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город Брянск</w:t>
      </w:r>
      <w:r>
        <w:rPr>
          <w:b/>
          <w:i/>
          <w:iCs/>
          <w:color w:val="000000" w:themeColor="text1"/>
          <w:sz w:val="22"/>
          <w:szCs w:val="22"/>
        </w:rPr>
        <w:t xml:space="preserve">.</w:t>
      </w:r>
      <w:r>
        <w:rPr>
          <w:i/>
          <w:iCs/>
          <w:color w:val="000000" w:themeColor="text1"/>
          <w:sz w:val="22"/>
          <w:szCs w:val="22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7253" w:leader="underscore"/>
        </w:tabs>
        <w:rPr>
          <w:b/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Форма проведения общего</w:t>
      </w:r>
      <w:r>
        <w:rPr>
          <w:iCs/>
          <w:color w:val="000000" w:themeColor="text1"/>
          <w:spacing w:val="-1"/>
          <w:sz w:val="22"/>
          <w:szCs w:val="22"/>
        </w:rPr>
        <w:t xml:space="preserve"> собрания: </w:t>
      </w:r>
      <w:r>
        <w:rPr>
          <w:b/>
          <w:iCs/>
          <w:color w:val="000000" w:themeColor="text1"/>
          <w:spacing w:val="-1"/>
          <w:sz w:val="22"/>
          <w:szCs w:val="22"/>
        </w:rPr>
        <w:t xml:space="preserve">заочное голосование </w:t>
      </w:r>
      <w:r>
        <w:rPr>
          <w:b/>
          <w:i/>
          <w:iCs/>
          <w:color w:val="000000" w:themeColor="text1"/>
          <w:sz w:val="22"/>
          <w:szCs w:val="22"/>
        </w:rPr>
      </w:r>
    </w:p>
    <w:p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Дата проведения собрания</w:t>
      </w:r>
      <w:r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</w:t>
      </w:r>
      <w:r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ата окончания приема бюллетеней для голосования):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28 июня 2024  года. </w:t>
      </w:r>
      <w:r>
        <w:rPr>
          <w:b/>
          <w:bCs/>
          <w:color w:val="000000" w:themeColor="text1"/>
          <w:sz w:val="22"/>
          <w:szCs w:val="22"/>
        </w:rPr>
      </w:r>
    </w:p>
    <w:p>
      <w:pPr>
        <w:ind w:firstLine="709"/>
        <w:jc w:val="both"/>
        <w:rPr>
          <w:b/>
          <w:i/>
          <w:iCs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bookmarkStart w:id="0" w:name="_GoBack"/>
      <w:r/>
      <w:bookmarkEnd w:id="0"/>
      <w:r>
        <w:rPr>
          <w:b/>
          <w:color w:val="000000"/>
          <w:sz w:val="22"/>
          <w:szCs w:val="22"/>
        </w:rPr>
        <w:t xml:space="preserve">241050, Брянская область, г. Брянск, ул. Щукина, д. 54</w:t>
      </w:r>
      <w:r>
        <w:rPr>
          <w:b/>
          <w:i/>
          <w:iCs/>
          <w:color w:val="ff0000"/>
          <w:sz w:val="22"/>
          <w:szCs w:val="22"/>
        </w:rPr>
      </w:r>
    </w:p>
    <w:p>
      <w:pPr>
        <w:ind w:firstLine="709"/>
        <w:jc w:val="both"/>
        <w:tabs>
          <w:tab w:val="left" w:pos="993" w:leader="none"/>
        </w:tabs>
        <w:rPr>
          <w:b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собрании: </w:t>
      </w:r>
      <w:r>
        <w:rPr>
          <w:b/>
          <w:color w:val="000000" w:themeColor="text1"/>
          <w:sz w:val="22"/>
          <w:szCs w:val="22"/>
        </w:rPr>
        <w:t xml:space="preserve">04</w:t>
      </w:r>
      <w:r>
        <w:rPr>
          <w:b/>
          <w:color w:val="000000" w:themeColor="text1"/>
          <w:spacing w:val="-2"/>
          <w:sz w:val="22"/>
          <w:szCs w:val="22"/>
        </w:rPr>
        <w:t xml:space="preserve"> июня 2024 года</w:t>
      </w:r>
      <w:r>
        <w:rPr>
          <w:b/>
          <w:color w:val="000000" w:themeColor="text1"/>
          <w:sz w:val="22"/>
          <w:szCs w:val="22"/>
        </w:rPr>
        <w:t xml:space="preserve">.</w:t>
      </w:r>
      <w:r>
        <w:rPr>
          <w:b/>
          <w:i/>
          <w:color w:val="000000" w:themeColor="text1"/>
          <w:sz w:val="22"/>
          <w:szCs w:val="22"/>
        </w:rPr>
      </w:r>
    </w:p>
    <w:p>
      <w:pPr>
        <w:ind w:firstLine="709"/>
        <w:jc w:val="both"/>
        <w:tabs>
          <w:tab w:val="left" w:pos="993" w:leader="none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</w:t>
      </w:r>
      <w:r>
        <w:rPr>
          <w:color w:val="000000" w:themeColor="text1"/>
          <w:sz w:val="22"/>
          <w:szCs w:val="22"/>
        </w:rPr>
        <w:t xml:space="preserve">неров: </w:t>
      </w:r>
      <w:r>
        <w:rPr>
          <w:b/>
          <w:color w:val="000000" w:themeColor="text1"/>
          <w:sz w:val="22"/>
          <w:szCs w:val="22"/>
        </w:rPr>
        <w:t xml:space="preserve">обыкновенные акции.</w:t>
      </w:r>
      <w:r>
        <w:rPr>
          <w:color w:val="000000" w:themeColor="text1"/>
          <w:sz w:val="22"/>
          <w:szCs w:val="22"/>
        </w:rPr>
      </w:r>
    </w:p>
    <w:p>
      <w:pPr>
        <w:jc w:val="center"/>
        <w:shd w:val="clear" w:color="auto" w:fill="ffffff"/>
        <w:tabs>
          <w:tab w:val="left" w:pos="993" w:leader="none"/>
          <w:tab w:val="left" w:pos="9720" w:leader="none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Повестка дня:</w:t>
      </w:r>
      <w:r>
        <w:rPr>
          <w:b/>
          <w:color w:val="000000" w:themeColor="text1"/>
          <w:sz w:val="22"/>
          <w:szCs w:val="22"/>
        </w:rPr>
      </w:r>
    </w:p>
    <w:p>
      <w:pPr>
        <w:ind w:firstLine="709"/>
        <w:jc w:val="both"/>
        <w:rPr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 </w:t>
      </w:r>
      <w:r>
        <w:rPr>
          <w:sz w:val="22"/>
          <w:szCs w:val="22"/>
        </w:rPr>
        <w:t xml:space="preserve">Избрание председательствующего на годовом общем собрании акционеров Общества и секретаря собрания.</w:t>
      </w:r>
      <w:r>
        <w:rPr>
          <w:bCs/>
          <w:i/>
          <w:sz w:val="28"/>
          <w:szCs w:val="28"/>
        </w:rPr>
      </w:r>
    </w:p>
    <w:p>
      <w:pPr>
        <w:ind w:firstLine="709"/>
        <w:jc w:val="both"/>
        <w:rPr>
          <w:bCs/>
          <w:i/>
          <w:sz w:val="28"/>
          <w:szCs w:val="28"/>
        </w:rPr>
      </w:pPr>
      <w:r>
        <w:rPr>
          <w:sz w:val="22"/>
          <w:szCs w:val="22"/>
        </w:rPr>
        <w:t xml:space="preserve">2.  Утверждение годового отчета Общества за 2023 год.</w:t>
      </w:r>
      <w:r>
        <w:rPr>
          <w:bCs/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3. Утверждение годовой бухгалтерской (финансовой) отчетности Общества за 2023 год.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4. Распределение прибыли (в том числе выплата (объявление) дивидендов) и убытков Общества по результатам 2023 года.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5. О размере, сроках и форме выплаты дивидендов по резуль</w:t>
      </w:r>
      <w:r>
        <w:rPr>
          <w:sz w:val="22"/>
          <w:szCs w:val="22"/>
        </w:rPr>
        <w:t xml:space="preserve">татам 2023 года.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6. О размере вознаграждений, выплачиваемых членам Совета директоров и членам ревизионной комиссии Общества по результатам работы в 2023 году.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7. Избрание членов Совета директоров Общества.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8. Избрание членов ревизионной комиссии Общества.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 xml:space="preserve">9. О назначении аудиторской организации Общества.</w:t>
      </w:r>
      <w:r>
        <w:rPr>
          <w:i/>
          <w:sz w:val="28"/>
          <w:szCs w:val="28"/>
        </w:rPr>
      </w:r>
    </w:p>
    <w:p>
      <w:pPr>
        <w:ind w:firstLine="709"/>
        <w:jc w:val="both"/>
        <w:rPr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  <w:szCs w:val="22"/>
        </w:rPr>
        <w:t xml:space="preserve">10</w:t>
      </w:r>
      <w:r>
        <w:rPr>
          <w:sz w:val="22"/>
          <w:szCs w:val="22"/>
        </w:rPr>
        <w:t xml:space="preserve">. Утверждение Устава Общества в новой редакции.</w:t>
      </w:r>
      <w:r>
        <w:rPr>
          <w:bCs/>
          <w:i/>
          <w:sz w:val="28"/>
          <w:szCs w:val="28"/>
        </w:rPr>
      </w:r>
    </w:p>
    <w:p>
      <w:pPr>
        <w:ind w:firstLine="709"/>
        <w:jc w:val="both"/>
        <w:shd w:val="clear" w:color="auto" w:fill="ffffff"/>
        <w:widowControl w:val="off"/>
        <w:tabs>
          <w:tab w:val="left" w:pos="851" w:leader="none"/>
          <w:tab w:val="left" w:pos="993" w:leader="none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</w:r>
    </w:p>
    <w:p>
      <w:pPr>
        <w:ind w:firstLine="709"/>
        <w:jc w:val="both"/>
        <w:shd w:val="clear" w:color="auto" w:fill="ffffff"/>
        <w:tabs>
          <w:tab w:val="left" w:pos="532" w:leader="none"/>
          <w:tab w:val="left" w:pos="993" w:leader="none"/>
        </w:tabs>
        <w:rPr>
          <w:b/>
          <w:bCs/>
          <w:i/>
          <w:iCs/>
          <w:color w:val="ff0000"/>
          <w:sz w:val="22"/>
          <w:szCs w:val="22"/>
          <w:highlight w:val="yellow"/>
        </w:rPr>
      </w:pPr>
      <w:r>
        <w:rPr>
          <w:color w:val="000000" w:themeColor="text1"/>
          <w:sz w:val="22"/>
          <w:szCs w:val="22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>
        <w:rPr>
          <w:b/>
          <w:color w:val="000000" w:themeColor="text1"/>
          <w:sz w:val="22"/>
          <w:szCs w:val="22"/>
        </w:rPr>
        <w:t xml:space="preserve">в течение двадцати дней </w:t>
      </w:r>
      <w:r>
        <w:rPr>
          <w:color w:val="000000" w:themeColor="text1"/>
          <w:sz w:val="22"/>
          <w:szCs w:val="22"/>
        </w:rPr>
        <w:t xml:space="preserve">до проведения годового общего собрания акционеров по адр</w:t>
      </w:r>
      <w:r>
        <w:rPr>
          <w:color w:val="000000" w:themeColor="text1"/>
          <w:sz w:val="22"/>
          <w:szCs w:val="22"/>
        </w:rPr>
        <w:t xml:space="preserve">есу: </w:t>
      </w:r>
      <w:r>
        <w:rPr>
          <w:sz w:val="22"/>
          <w:szCs w:val="22"/>
        </w:rPr>
        <w:t xml:space="preserve">Брянская область, г. Брянск, ул. Щукина, д. 54, с понедельника по пятницу с 09 часов 00 минут до 16 часов 00 минут, обед с 13 часов 00 минут до 14 часов  00 минут, справки по тел. 8 (4832) 58-99-32, контактное лицо Бугаева Алла Васильевна</w:t>
      </w:r>
      <w:r>
        <w:rPr>
          <w:sz w:val="22"/>
          <w:szCs w:val="22"/>
        </w:rPr>
        <w:t xml:space="preserve">.</w:t>
      </w:r>
      <w:r>
        <w:rPr>
          <w:b/>
          <w:bCs/>
          <w:i/>
          <w:iCs/>
          <w:color w:val="ff0000"/>
          <w:sz w:val="22"/>
          <w:szCs w:val="22"/>
          <w:highlight w:val="yellow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9923" w:leader="none"/>
        </w:tabs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 xml:space="preserve">Право на участие в общем собрании акционеров осуществляется акционером как лично, так и через своего представителя.</w:t>
      </w:r>
      <w:r>
        <w:rPr>
          <w:bCs/>
          <w:iCs/>
          <w:color w:val="000000" w:themeColor="text1"/>
          <w:sz w:val="22"/>
          <w:szCs w:val="22"/>
        </w:rPr>
      </w:r>
    </w:p>
    <w:p>
      <w:pPr>
        <w:ind w:firstLine="709"/>
        <w:jc w:val="both"/>
        <w:tabs>
          <w:tab w:val="left" w:pos="993" w:leader="none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Акционеры, чьи права на ценные бумаги учитываются номинальным держателем, вправе принимать участие в общем собрании и осуществлять свое право голоса путем дачи указаний (инструкций) номинальному держателю. Порядок дачи указаний (инструкций) определяются до</w:t>
      </w:r>
      <w:r>
        <w:rPr>
          <w:color w:val="000000" w:themeColor="text1"/>
          <w:sz w:val="22"/>
          <w:szCs w:val="22"/>
        </w:rPr>
        <w:t xml:space="preserve">говором с номинальным держателем.</w:t>
      </w:r>
      <w:r>
        <w:rPr>
          <w:color w:val="000000" w:themeColor="text1"/>
          <w:sz w:val="22"/>
          <w:szCs w:val="22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10" w:tooltip="consultantplus://offline/ref=E8A6DE5D2340E232D26F92EFCE4A7092BCFBFF6F5BF3FDD6BE71C61629C81A6E416FF7BCEBFA3E954C52FA28D789A490E4BBE2C006M9v5L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пунктов 3</w:t>
        </w:r>
      </w:hyperlink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11" w:tooltip="consultantplus://offline/ref=E8A6DE5D2340E232D26F92EFCE4A7092BCFBFF6F5BF3FDD6BE71C61629C81A6E416FF7BCEBFB3E954C52FA28D789A490E4BBE2C006M9v5L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4 статьи 185.1</w:t>
        </w:r>
      </w:hyperlink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  <w:r>
        <w:rPr>
          <w:rFonts w:eastAsiaTheme="minorHAnsi"/>
          <w:color w:val="000000" w:themeColor="text1"/>
          <w:sz w:val="22"/>
          <w:szCs w:val="22"/>
          <w:lang w:eastAsia="en-US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9923" w:leader="none"/>
        </w:tabs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</w:t>
      </w:r>
      <w:r>
        <w:rPr>
          <w:iCs/>
          <w:color w:val="000000" w:themeColor="text1"/>
          <w:sz w:val="22"/>
          <w:szCs w:val="22"/>
        </w:rPr>
        <w:t xml:space="preserve">и, засвидетельствованные нотариально), должны быть </w:t>
      </w:r>
      <w:r>
        <w:rPr>
          <w:bCs/>
          <w:iCs/>
          <w:color w:val="000000" w:themeColor="text1"/>
          <w:sz w:val="22"/>
          <w:szCs w:val="22"/>
        </w:rPr>
        <w:t xml:space="preserve">направлены вместе с бюллетенем для голосования</w:t>
      </w:r>
      <w:r>
        <w:rPr>
          <w:iCs/>
          <w:color w:val="000000" w:themeColor="text1"/>
          <w:sz w:val="22"/>
          <w:szCs w:val="22"/>
        </w:rPr>
        <w:t xml:space="preserve">.</w:t>
      </w:r>
      <w:r>
        <w:rPr>
          <w:iCs/>
          <w:color w:val="000000" w:themeColor="text1"/>
          <w:sz w:val="22"/>
          <w:szCs w:val="22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Принявшими участие в общем собрании акционеров считаются:</w:t>
      </w:r>
      <w:r>
        <w:rPr>
          <w:rFonts w:eastAsiaTheme="minorHAnsi"/>
          <w:color w:val="000000" w:themeColor="text1"/>
          <w:sz w:val="22"/>
          <w:szCs w:val="22"/>
          <w:lang w:eastAsia="en-US"/>
        </w:rPr>
      </w:r>
    </w:p>
    <w:p>
      <w:pPr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- акционеры, бюллетени которых получены до даты окончания приема бюллетеней, последний день приема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бюллетеней - 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27</w:t>
      </w:r>
      <w:r>
        <w:rPr>
          <w:b/>
          <w:color w:val="000000" w:themeColor="text1"/>
          <w:spacing w:val="-2"/>
          <w:sz w:val="22"/>
          <w:szCs w:val="22"/>
        </w:rPr>
        <w:t xml:space="preserve"> июня 2024 года;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</w:r>
    </w:p>
    <w:p>
      <w:pPr>
        <w:ind w:firstLine="709"/>
        <w:jc w:val="both"/>
        <w:rPr>
          <w:rFonts w:eastAsiaTheme="minorHAnsi"/>
          <w:b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- </w:t>
      </w:r>
      <w:r>
        <w:rPr>
          <w:color w:val="000000"/>
          <w:sz w:val="22"/>
          <w:szCs w:val="22"/>
        </w:rPr>
        <w:t xml:space="preserve">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</w:t>
      </w:r>
      <w:r>
        <w:rPr>
          <w:color w:val="000000"/>
          <w:sz w:val="22"/>
          <w:szCs w:val="22"/>
        </w:rPr>
        <w:t xml:space="preserve">ии получены до даты окончания приема бюллетеней - </w:t>
      </w:r>
      <w:r>
        <w:rPr>
          <w:b/>
          <w:bCs/>
          <w:color w:val="000000"/>
          <w:sz w:val="22"/>
          <w:szCs w:val="22"/>
        </w:rPr>
        <w:t xml:space="preserve">27 июня 2024 года.</w:t>
      </w:r>
      <w:r>
        <w:rPr>
          <w:rFonts w:eastAsiaTheme="minorHAnsi"/>
          <w:b/>
          <w:bCs/>
          <w:iCs/>
          <w:color w:val="000000" w:themeColor="text1"/>
          <w:sz w:val="22"/>
          <w:szCs w:val="22"/>
          <w:lang w:eastAsia="en-US"/>
        </w:rPr>
      </w:r>
    </w:p>
    <w:sectPr>
      <w:footnotePr/>
      <w:endnotePr/>
      <w:type w:val="nextPage"/>
      <w:pgSz w:w="11909" w:h="16834" w:orient="portrait"/>
      <w:pgMar w:top="567" w:right="710" w:bottom="851" w:left="1418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667"/>
    <w:link w:val="65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7"/>
    <w:link w:val="680"/>
    <w:uiPriority w:val="10"/>
    <w:rPr>
      <w:sz w:val="48"/>
      <w:szCs w:val="48"/>
    </w:rPr>
  </w:style>
  <w:style w:type="character" w:styleId="37">
    <w:name w:val="Subtitle Char"/>
    <w:basedOn w:val="667"/>
    <w:link w:val="682"/>
    <w:uiPriority w:val="11"/>
    <w:rPr>
      <w:sz w:val="24"/>
      <w:szCs w:val="24"/>
    </w:rPr>
  </w:style>
  <w:style w:type="character" w:styleId="39">
    <w:name w:val="Quote Char"/>
    <w:link w:val="684"/>
    <w:uiPriority w:val="29"/>
    <w:rPr>
      <w:i/>
    </w:rPr>
  </w:style>
  <w:style w:type="character" w:styleId="41">
    <w:name w:val="Intense Quote Char"/>
    <w:link w:val="686"/>
    <w:uiPriority w:val="30"/>
    <w:rPr>
      <w:i/>
    </w:rPr>
  </w:style>
  <w:style w:type="character" w:styleId="43">
    <w:name w:val="Header Char"/>
    <w:basedOn w:val="667"/>
    <w:link w:val="688"/>
    <w:uiPriority w:val="99"/>
  </w:style>
  <w:style w:type="character" w:styleId="47">
    <w:name w:val="Caption Char"/>
    <w:basedOn w:val="692"/>
    <w:link w:val="690"/>
    <w:uiPriority w:val="99"/>
  </w:style>
  <w:style w:type="character" w:styleId="176">
    <w:name w:val="Footnote Text Char"/>
    <w:link w:val="820"/>
    <w:uiPriority w:val="99"/>
    <w:rPr>
      <w:sz w:val="18"/>
    </w:rPr>
  </w:style>
  <w:style w:type="character" w:styleId="179">
    <w:name w:val="Endnote Text Char"/>
    <w:link w:val="823"/>
    <w:uiPriority w:val="99"/>
    <w:rPr>
      <w:sz w:val="20"/>
    </w:rPr>
  </w:style>
  <w:style w:type="paragraph" w:styleId="65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8">
    <w:name w:val="Heading 1"/>
    <w:basedOn w:val="657"/>
    <w:next w:val="657"/>
    <w:link w:val="837"/>
    <w:uiPriority w:val="99"/>
    <w:qFormat/>
    <w:pPr>
      <w:jc w:val="center"/>
      <w:keepNext/>
      <w:shd w:val="clear" w:color="auto" w:fill="ffffff"/>
      <w:outlineLvl w:val="0"/>
    </w:pPr>
    <w:rPr>
      <w:b/>
      <w:bCs/>
      <w:color w:val="000000"/>
      <w:spacing w:val="-6"/>
      <w:sz w:val="22"/>
      <w:szCs w:val="22"/>
    </w:rPr>
  </w:style>
  <w:style w:type="paragraph" w:styleId="659">
    <w:name w:val="Heading 2"/>
    <w:basedOn w:val="657"/>
    <w:next w:val="657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basedOn w:val="657"/>
    <w:next w:val="657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657"/>
    <w:next w:val="657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657"/>
    <w:next w:val="657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3">
    <w:name w:val="Heading 6"/>
    <w:basedOn w:val="657"/>
    <w:next w:val="65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657"/>
    <w:next w:val="65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657"/>
    <w:next w:val="65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657"/>
    <w:next w:val="65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uiPriority w:val="9"/>
    <w:rPr>
      <w:rFonts w:ascii="Arial" w:hAnsi="Arial" w:eastAsia="Arial" w:cs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eastAsia="Arial" w:cs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No Spacing"/>
    <w:uiPriority w:val="1"/>
    <w:qFormat/>
    <w:pPr>
      <w:spacing w:after="0" w:line="240" w:lineRule="auto"/>
    </w:pPr>
  </w:style>
  <w:style w:type="paragraph" w:styleId="680">
    <w:name w:val="Title"/>
    <w:basedOn w:val="657"/>
    <w:next w:val="657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 w:customStyle="1">
    <w:name w:val="Название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uiPriority w:val="11"/>
    <w:qFormat/>
    <w:pPr>
      <w:spacing w:before="200" w:after="200"/>
    </w:pPr>
  </w:style>
  <w:style w:type="character" w:styleId="683" w:customStyle="1">
    <w:name w:val="По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uiPriority w:val="29"/>
    <w:qFormat/>
    <w:pPr>
      <w:ind w:left="720" w:right="720"/>
    </w:pPr>
    <w:rPr>
      <w:i/>
    </w:r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67"/>
    <w:link w:val="688"/>
    <w:uiPriority w:val="99"/>
  </w:style>
  <w:style w:type="paragraph" w:styleId="690">
    <w:name w:val="Footer"/>
    <w:basedOn w:val="657"/>
    <w:link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7"/>
    <w:uiPriority w:val="99"/>
  </w:style>
  <w:style w:type="paragraph" w:styleId="692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3" w:customStyle="1">
    <w:name w:val="Нижний колонтитул Знак"/>
    <w:link w:val="690"/>
    <w:uiPriority w:val="99"/>
  </w:style>
  <w:style w:type="table" w:styleId="694">
    <w:name w:val="Table Grid"/>
    <w:basedOn w:val="66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5" w:customStyle="1">
    <w:name w:val="Table Grid Light"/>
    <w:basedOn w:val="6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6" w:customStyle="1">
    <w:name w:val="Plain Table 1"/>
    <w:basedOn w:val="6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2"/>
    <w:basedOn w:val="66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 w:customStyle="1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4" w:customStyle="1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5" w:customStyle="1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6" w:customStyle="1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7" w:customStyle="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8" w:customStyle="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9" w:customStyle="1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8" w:customStyle="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 w:customStyle="1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3" w:customStyle="1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4" w:customStyle="1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7" w:customStyle="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9" w:customStyle="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1" w:customStyle="1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2" w:customStyle="1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1" w:customStyle="1">
    <w:name w:val="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5" w:customStyle="1">
    <w:name w:val="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 &amp; 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Bordered &amp; 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Bordered &amp; 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Bordered &amp; 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Bordered &amp; 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Bordered &amp; 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5" w:customStyle="1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6" w:customStyle="1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7" w:customStyle="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8" w:customStyle="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9" w:customStyle="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20">
    <w:name w:val="footnote text"/>
    <w:basedOn w:val="657"/>
    <w:link w:val="821"/>
    <w:uiPriority w:val="99"/>
    <w:semiHidden/>
    <w:unhideWhenUsed/>
    <w:pPr>
      <w:spacing w:after="40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67"/>
    <w:uiPriority w:val="99"/>
    <w:unhideWhenUsed/>
    <w:rPr>
      <w:vertAlign w:val="superscript"/>
    </w:rPr>
  </w:style>
  <w:style w:type="paragraph" w:styleId="823">
    <w:name w:val="endnote text"/>
    <w:basedOn w:val="657"/>
    <w:link w:val="824"/>
    <w:uiPriority w:val="99"/>
    <w:semiHidden/>
    <w:unhideWhenUsed/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67"/>
    <w:uiPriority w:val="99"/>
    <w:semiHidden/>
    <w:unhideWhenUsed/>
    <w:rPr>
      <w:vertAlign w:val="superscript"/>
    </w:rPr>
  </w:style>
  <w:style w:type="paragraph" w:styleId="826">
    <w:name w:val="toc 1"/>
    <w:basedOn w:val="657"/>
    <w:next w:val="657"/>
    <w:uiPriority w:val="39"/>
    <w:unhideWhenUsed/>
    <w:pPr>
      <w:spacing w:after="57"/>
    </w:pPr>
  </w:style>
  <w:style w:type="paragraph" w:styleId="827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8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9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0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1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2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3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4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7"/>
    <w:next w:val="657"/>
    <w:uiPriority w:val="99"/>
    <w:unhideWhenUsed/>
  </w:style>
  <w:style w:type="character" w:styleId="837" w:customStyle="1">
    <w:name w:val="Заголовок 1 Знак"/>
    <w:basedOn w:val="667"/>
    <w:link w:val="658"/>
    <w:uiPriority w:val="99"/>
    <w:rPr>
      <w:rFonts w:ascii="Times New Roman" w:hAnsi="Times New Roman" w:eastAsia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styleId="838" w:customStyle="1">
    <w:name w:val="msonormal_mailru_css_attribute_postfix"/>
    <w:basedOn w:val="657"/>
    <w:pPr>
      <w:spacing w:before="100" w:beforeAutospacing="1" w:after="100" w:afterAutospacing="1"/>
    </w:pPr>
  </w:style>
  <w:style w:type="paragraph" w:styleId="839">
    <w:name w:val="Balloon Text"/>
    <w:basedOn w:val="657"/>
    <w:link w:val="84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667"/>
    <w:link w:val="83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1">
    <w:name w:val="List Paragraph"/>
    <w:basedOn w:val="657"/>
    <w:uiPriority w:val="34"/>
    <w:qFormat/>
    <w:pPr>
      <w:contextualSpacing/>
      <w:ind w:left="720"/>
    </w:pPr>
  </w:style>
  <w:style w:type="character" w:styleId="842">
    <w:name w:val="annotation reference"/>
    <w:basedOn w:val="667"/>
    <w:uiPriority w:val="99"/>
    <w:semiHidden/>
    <w:unhideWhenUsed/>
    <w:rPr>
      <w:sz w:val="16"/>
      <w:szCs w:val="16"/>
    </w:rPr>
  </w:style>
  <w:style w:type="paragraph" w:styleId="843">
    <w:name w:val="annotation text"/>
    <w:basedOn w:val="657"/>
    <w:link w:val="844"/>
    <w:uiPriority w:val="99"/>
    <w:semiHidden/>
    <w:unhideWhenUsed/>
    <w:rPr>
      <w:sz w:val="20"/>
      <w:szCs w:val="20"/>
    </w:rPr>
  </w:style>
  <w:style w:type="character" w:styleId="844" w:customStyle="1">
    <w:name w:val="Текст примечания Знак"/>
    <w:basedOn w:val="667"/>
    <w:link w:val="84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5">
    <w:name w:val="annotation subject"/>
    <w:basedOn w:val="843"/>
    <w:next w:val="843"/>
    <w:link w:val="846"/>
    <w:uiPriority w:val="99"/>
    <w:semiHidden/>
    <w:unhideWhenUsed/>
    <w:rPr>
      <w:b/>
      <w:bCs/>
    </w:rPr>
  </w:style>
  <w:style w:type="character" w:styleId="846" w:customStyle="1">
    <w:name w:val="Тема примечания Знак"/>
    <w:basedOn w:val="844"/>
    <w:link w:val="845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847">
    <w:name w:val="Hyperlink"/>
    <w:basedOn w:val="667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11" Type="http://schemas.openxmlformats.org/officeDocument/2006/relationships/hyperlink" Target="consultantplus://offline/ref=E8A6DE5D2340E232D26F92EFCE4A7092BCFBFF6F5BF3FDD6BE71C61629C81A6E416FF7BCEBFB3E954C52FA28D789A490E4BBE2C006M9v5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5994-1868-4B0C-836D-0BBDDD2C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revision>4</cp:revision>
  <dcterms:created xsi:type="dcterms:W3CDTF">2024-05-17T07:05:00Z</dcterms:created>
  <dcterms:modified xsi:type="dcterms:W3CDTF">2024-05-17T09:18:19Z</dcterms:modified>
</cp:coreProperties>
</file>